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E2" w:rsidRDefault="00D170E2" w:rsidP="00D170E2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17390E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D170E2" w:rsidRPr="00AB6CBF" w:rsidRDefault="00D170E2" w:rsidP="00D170E2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</w:p>
    <w:p w:rsidR="00D170E2" w:rsidRDefault="00D170E2" w:rsidP="00D170E2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</w:p>
    <w:p w:rsidR="00964B65" w:rsidRPr="00C6420F" w:rsidRDefault="00287A54" w:rsidP="00CC2A7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  <w:r w:rsidRPr="00C6420F"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  <w:t xml:space="preserve">Проект приказа Министра финансов Республики Казахстан </w:t>
      </w:r>
      <w:r w:rsidR="00D170E2" w:rsidRPr="00C6420F"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  <w:t>«</w:t>
      </w:r>
      <w:r w:rsidR="00CC2A77" w:rsidRPr="00CC2A77"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  <w:t>Об установлении Правил маркировки (перемаркировки) алкогольной продукции, за исключением вина наливом (виноматериала), пива и пивного напитка, учетно-контрольными марками, а также формы, содержание и элементы защиты учетно-контрольных марок, Правил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  <w:r w:rsidR="00D170E2" w:rsidRPr="00C6420F"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  <w:t>»</w:t>
      </w:r>
    </w:p>
    <w:p w:rsidR="00D170E2" w:rsidRPr="00287A54" w:rsidRDefault="00D170E2" w:rsidP="00314EE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4759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4013"/>
        <w:gridCol w:w="10462"/>
      </w:tblGrid>
      <w:tr w:rsidR="00964B65" w:rsidRPr="00287A54" w:rsidTr="00AF1A85"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AF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0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F60071" w:rsidRDefault="00D170E2" w:rsidP="00314EE8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170E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Проект приказа Министра финансов Республики Казахстан «</w:t>
            </w:r>
            <w:r w:rsidR="00CC2A77" w:rsidRPr="00CC2A7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Об установлении Правил маркировки (перемаркировки) алкогольной продукции, за исключением вина наливом (виноматериала), пива и пивного напитка, учетно-контрольными марками, а также формы, содержание и элементы защиты учетно-контрольных марок, Правил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      </w:r>
            <w:r w:rsidR="00314EE8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</w:p>
        </w:tc>
      </w:tr>
      <w:tr w:rsidR="00964B65" w:rsidRPr="00287A54" w:rsidTr="00AF1A85"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AF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D82077" w:rsidRDefault="00964B65" w:rsidP="00D170E2">
            <w:pPr>
              <w:spacing w:after="0" w:line="240" w:lineRule="auto"/>
              <w:ind w:firstLine="448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287A5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Министерство финансов Республика Казахстан</w:t>
            </w:r>
            <w:r w:rsidR="00D170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964B65" w:rsidRPr="00287A54" w:rsidTr="00AF1A85"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AF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Основания для разработки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0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D170E2" w:rsidP="00A444A4">
            <w:pPr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целях реализации норм</w:t>
            </w:r>
            <w:r w:rsidR="00A444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ы пункта 15 статьи 175 Налогового кодекса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Республики Казахстан </w:t>
            </w:r>
            <w:r w:rsidR="00A444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подпункта 1) статьи 10 Закона Республики Казахстан «О государственных услугах».</w:t>
            </w:r>
          </w:p>
        </w:tc>
      </w:tr>
      <w:tr w:rsidR="00964B65" w:rsidRPr="00287A54" w:rsidTr="00AF1A85"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AF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1628" w:rsidRPr="00B15786" w:rsidRDefault="00551628" w:rsidP="00CC2A77">
            <w:pPr>
              <w:pStyle w:val="a6"/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7EB0">
              <w:rPr>
                <w:rFonts w:ascii="Times New Roman" w:hAnsi="Times New Roman" w:cs="Times New Roman"/>
              </w:rPr>
              <w:t xml:space="preserve"> </w:t>
            </w:r>
            <w:r w:rsidR="00AF1A85">
              <w:rPr>
                <w:rFonts w:ascii="Times New Roman" w:hAnsi="Times New Roman" w:cs="Times New Roman"/>
              </w:rPr>
              <w:t xml:space="preserve">В целях </w:t>
            </w:r>
            <w:r w:rsidRPr="00817EB0">
              <w:rPr>
                <w:rFonts w:ascii="Times New Roman" w:hAnsi="Times New Roman" w:cs="Times New Roman"/>
              </w:rPr>
              <w:t>реализаци</w:t>
            </w:r>
            <w:r w:rsidR="00AF1A85">
              <w:rPr>
                <w:rFonts w:ascii="Times New Roman" w:hAnsi="Times New Roman" w:cs="Times New Roman"/>
              </w:rPr>
              <w:t>и</w:t>
            </w:r>
            <w:r w:rsidRPr="00817EB0">
              <w:rPr>
                <w:rFonts w:ascii="Times New Roman" w:hAnsi="Times New Roman" w:cs="Times New Roman"/>
              </w:rPr>
              <w:t xml:space="preserve"> пункта 1</w:t>
            </w:r>
            <w:r>
              <w:rPr>
                <w:rFonts w:ascii="Times New Roman" w:hAnsi="Times New Roman" w:cs="Times New Roman"/>
              </w:rPr>
              <w:t>5</w:t>
            </w:r>
            <w:r w:rsidRPr="00817EB0">
              <w:rPr>
                <w:rFonts w:ascii="Times New Roman" w:hAnsi="Times New Roman" w:cs="Times New Roman"/>
              </w:rPr>
              <w:t xml:space="preserve"> статьи </w:t>
            </w:r>
            <w:r>
              <w:rPr>
                <w:rFonts w:ascii="Times New Roman" w:hAnsi="Times New Roman" w:cs="Times New Roman"/>
              </w:rPr>
              <w:t>175</w:t>
            </w:r>
            <w:r w:rsidRPr="00817EB0">
              <w:rPr>
                <w:rFonts w:ascii="Times New Roman" w:hAnsi="Times New Roman" w:cs="Times New Roman"/>
              </w:rPr>
              <w:t xml:space="preserve"> Налогового кодекса Республики Казахстан, а именно</w:t>
            </w:r>
            <w:r w:rsidR="00B15786" w:rsidRPr="00B15786">
              <w:rPr>
                <w:rFonts w:ascii="Times New Roman" w:hAnsi="Times New Roman" w:cs="Times New Roman"/>
              </w:rPr>
              <w:t xml:space="preserve"> </w:t>
            </w:r>
            <w:r w:rsidR="00B15786">
              <w:rPr>
                <w:rFonts w:ascii="Times New Roman" w:hAnsi="Times New Roman" w:cs="Times New Roman"/>
              </w:rPr>
              <w:t>установление:</w:t>
            </w:r>
          </w:p>
          <w:p w:rsidR="00CC2A77" w:rsidRPr="00CC2A77" w:rsidRDefault="00B15786" w:rsidP="00CC2A77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порядка м</w:t>
            </w:r>
            <w:r w:rsidR="00CC2A77" w:rsidRPr="00CC2A7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аркировки (перемаркировки) алкогольной продукции, за исключением вина наливом (виноматериала), пива и пивного напитка, учетно-контрольными марками;</w:t>
            </w:r>
          </w:p>
          <w:p w:rsidR="00CC2A77" w:rsidRDefault="00B15786" w:rsidP="00CC2A77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</w:t>
            </w:r>
            <w:r w:rsidR="00CC2A77" w:rsidRPr="00CC2A7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тверждение формы, содержание и элементы защиты учетно-контрольных марок на алкогольную продукцию отечественного производства и для ввозимой алкогольной продукции</w:t>
            </w:r>
            <w:r w:rsidR="00CC2A7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</w:t>
            </w:r>
          </w:p>
          <w:p w:rsidR="00400618" w:rsidRDefault="00B15786" w:rsidP="00CC2A77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="00314EE8"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равил получения, учета, хранения, выдачи учетно-контрольных марок</w:t>
            </w:r>
            <w:r w:rsid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 алкогольную продукцию </w:t>
            </w:r>
            <w:r w:rsidR="00400618"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 исключением вина наливом (виноматериала), пива и пивного напитка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</w:t>
            </w:r>
          </w:p>
          <w:p w:rsidR="004107D0" w:rsidRDefault="00B15786" w:rsidP="00CC2A77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порядка 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оказания государственной услуги «Выдача учетно-контрольных марок на </w:t>
            </w:r>
            <w:r w:rsidR="004107D0"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алкогольн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ую</w:t>
            </w:r>
            <w:r w:rsidR="004107D0"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продукци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 (</w:t>
            </w:r>
            <w:r w:rsidR="004107D0"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 исключением вина наливом 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пивоваренной продукции)»;</w:t>
            </w:r>
          </w:p>
          <w:p w:rsidR="004107D0" w:rsidRDefault="00B15786" w:rsidP="00CC2A77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орядк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</w:t>
            </w:r>
            <w:r w:rsidR="004107D0"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редставления обязательства, отчета производителя об уплате акциза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</w:t>
            </w:r>
          </w:p>
          <w:p w:rsidR="004107D0" w:rsidRDefault="004107D0" w:rsidP="00CC2A77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157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оряд</w:t>
            </w:r>
            <w:r w:rsidR="00B157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</w:t>
            </w:r>
            <w:r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редставления обязательства, отчета импортера о целевом использовании учетно-контрольных марок, а также учета и размер обеспечения такого обязательства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</w:t>
            </w:r>
          </w:p>
          <w:p w:rsidR="004107D0" w:rsidRDefault="00B15786" w:rsidP="00CC2A77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чет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хранение учетно-контрольных марок;</w:t>
            </w:r>
          </w:p>
          <w:p w:rsidR="00551628" w:rsidRPr="00400618" w:rsidRDefault="00B15786" w:rsidP="00AF1A85">
            <w:pPr>
              <w:pStyle w:val="a6"/>
              <w:numPr>
                <w:ilvl w:val="0"/>
                <w:numId w:val="1"/>
              </w:numPr>
              <w:spacing w:after="0"/>
              <w:ind w:left="-6" w:firstLine="45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оряд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 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учета обязательства </w:t>
            </w:r>
            <w:r w:rsidR="004107D0" w:rsidRPr="004006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 уплате акциза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о целевом использовании учетно-контрольных марок и размер такого обязательства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="004107D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D170E2" w:rsidRPr="00287A54" w:rsidTr="00AF1A85">
        <w:trPr>
          <w:trHeight w:val="2826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Pr="00287A54" w:rsidRDefault="00D170E2" w:rsidP="00AF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Pr="00287A54" w:rsidRDefault="00D170E2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14EE8" w:rsidRDefault="00254DA1" w:rsidP="00254DA1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</w:t>
            </w:r>
            <w:r w:rsidR="00314EE8" w:rsidRPr="00314E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Целью принятия Проекта является установление правил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обязательства, и маркировки (перемаркировки) алкогольной продукции, за исключением вина наливом (виноматериала), пива и пивного напитка, учетно-контрольными марками, а также формы, содержание и элементы защиты учетно-контрольных марок, которое распространяется на все категории налогоплательщиков осуществляющих деятельность на подакцизном рынке.</w:t>
            </w:r>
          </w:p>
          <w:p w:rsidR="0017390E" w:rsidRDefault="0017390E" w:rsidP="000B0030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Ожидаемым результатом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является </w:t>
            </w:r>
            <w:r w:rsidR="00551628" w:rsidRPr="00551628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 xml:space="preserve">повышение эффективности налогового администрирования </w:t>
            </w:r>
            <w:r w:rsidR="00551628" w:rsidRPr="005516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своевременного выявления рисков в сфере производства и оборота алкогольной продукции.</w:t>
            </w:r>
            <w:r w:rsidR="000B00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551628" w:rsidRPr="00551628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 xml:space="preserve">Также обеспечение полноты учета  </w:t>
            </w:r>
            <w:r w:rsidR="00551628" w:rsidRPr="005516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 контроля за оборотом</w:t>
            </w:r>
            <w:r w:rsidR="00551628" w:rsidRPr="00551628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 </w:t>
            </w:r>
            <w:r w:rsidR="00551628" w:rsidRPr="00551628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в сфере производства и оборота алкогольной продукции.</w:t>
            </w:r>
          </w:p>
        </w:tc>
      </w:tr>
      <w:tr w:rsidR="00964B65" w:rsidRPr="00287A54" w:rsidTr="00AF1A85"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AF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17390E" w:rsidP="00CC2A77">
            <w:pPr>
              <w:spacing w:after="3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Данный проект приказа разработан в целях принятия норм </w:t>
            </w:r>
            <w:r w:rsidR="005516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установление порядка </w:t>
            </w:r>
            <w:r w:rsidR="00254DA1" w:rsidRPr="00254D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</w:t>
            </w:r>
            <w:r w:rsidR="00CC2A7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установлению </w:t>
            </w:r>
            <w:r w:rsidR="00CC2A77" w:rsidRPr="00314E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маркировки (перемаркировки) алкогольной продукции, за исключением вина наливом (виноматериала), пива и пивного напитка, учетно-контрольными марками, а также формы, содержание и элементы защиты учетно-контрольных марок</w:t>
            </w:r>
            <w:r w:rsidR="00CC2A77"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CC2A7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правил</w:t>
            </w:r>
            <w:r w:rsidR="00CC2A77"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54DA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254DA1" w:rsidRPr="00314E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получени</w:t>
            </w:r>
            <w:r w:rsidR="00CC2A7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</w:t>
            </w:r>
            <w:r w:rsidR="00254DA1" w:rsidRPr="00314E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обязательства, 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которое распространяется на </w:t>
            </w:r>
            <w:r w:rsidR="005516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круг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налогоплательщиков</w:t>
            </w:r>
            <w:r w:rsidR="00254D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 w:rsidR="00254DA1" w:rsidRPr="00314E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осуществляющих деятельность на подакцизном рынке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в связи с чем отрицательные социально-экономические, правовые и иные последствия </w:t>
            </w:r>
            <w:r w:rsidRPr="0017390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отсутствуют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</w:tbl>
    <w:p w:rsidR="00D85F58" w:rsidRDefault="000C4475">
      <w:pPr>
        <w:rPr>
          <w:rFonts w:ascii="Times New Roman" w:hAnsi="Times New Roman" w:cs="Times New Roman"/>
        </w:rPr>
      </w:pPr>
    </w:p>
    <w:sectPr w:rsidR="00D85F58" w:rsidSect="00DD3D5B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75" w:rsidRDefault="000C4475" w:rsidP="00DD3D5B">
      <w:pPr>
        <w:spacing w:after="0" w:line="240" w:lineRule="auto"/>
      </w:pPr>
      <w:r>
        <w:separator/>
      </w:r>
    </w:p>
  </w:endnote>
  <w:endnote w:type="continuationSeparator" w:id="0">
    <w:p w:rsidR="000C4475" w:rsidRDefault="000C4475" w:rsidP="00DD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75" w:rsidRDefault="000C4475" w:rsidP="00DD3D5B">
      <w:pPr>
        <w:spacing w:after="0" w:line="240" w:lineRule="auto"/>
      </w:pPr>
      <w:r>
        <w:separator/>
      </w:r>
    </w:p>
  </w:footnote>
  <w:footnote w:type="continuationSeparator" w:id="0">
    <w:p w:rsidR="000C4475" w:rsidRDefault="000C4475" w:rsidP="00DD3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078043"/>
      <w:docPartObj>
        <w:docPartGallery w:val="Page Numbers (Top of Page)"/>
        <w:docPartUnique/>
      </w:docPartObj>
    </w:sdtPr>
    <w:sdtEndPr/>
    <w:sdtContent>
      <w:p w:rsidR="00DD3D5B" w:rsidRDefault="00DD3D5B">
        <w:pPr>
          <w:pStyle w:val="a7"/>
          <w:jc w:val="center"/>
        </w:pPr>
        <w:r w:rsidRPr="00DD3D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D3D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D3D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003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D3D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3D5B" w:rsidRDefault="00DD3D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04C8"/>
    <w:multiLevelType w:val="hybridMultilevel"/>
    <w:tmpl w:val="FCC0F402"/>
    <w:lvl w:ilvl="0" w:tplc="AD8C759E">
      <w:start w:val="1"/>
      <w:numFmt w:val="decimal"/>
      <w:lvlText w:val="%1)"/>
      <w:lvlJc w:val="left"/>
      <w:pPr>
        <w:ind w:left="80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37037"/>
    <w:rsid w:val="000A028A"/>
    <w:rsid w:val="000A628D"/>
    <w:rsid w:val="000B0030"/>
    <w:rsid w:val="000C4475"/>
    <w:rsid w:val="000E12FC"/>
    <w:rsid w:val="000E4732"/>
    <w:rsid w:val="001348DE"/>
    <w:rsid w:val="0017390E"/>
    <w:rsid w:val="001A53B3"/>
    <w:rsid w:val="001F4E22"/>
    <w:rsid w:val="00254DA1"/>
    <w:rsid w:val="00287A54"/>
    <w:rsid w:val="00314EE8"/>
    <w:rsid w:val="003160CD"/>
    <w:rsid w:val="00316254"/>
    <w:rsid w:val="00356B9D"/>
    <w:rsid w:val="003B0269"/>
    <w:rsid w:val="003D645F"/>
    <w:rsid w:val="00400618"/>
    <w:rsid w:val="004107D0"/>
    <w:rsid w:val="00551628"/>
    <w:rsid w:val="005516F6"/>
    <w:rsid w:val="00556794"/>
    <w:rsid w:val="006818D3"/>
    <w:rsid w:val="00681A8D"/>
    <w:rsid w:val="006C12F3"/>
    <w:rsid w:val="006F1601"/>
    <w:rsid w:val="0070342E"/>
    <w:rsid w:val="0071695B"/>
    <w:rsid w:val="00730F50"/>
    <w:rsid w:val="0075712B"/>
    <w:rsid w:val="007B351E"/>
    <w:rsid w:val="007C2C68"/>
    <w:rsid w:val="007E115E"/>
    <w:rsid w:val="007E76F8"/>
    <w:rsid w:val="00811D51"/>
    <w:rsid w:val="008A7145"/>
    <w:rsid w:val="009317B6"/>
    <w:rsid w:val="00964B65"/>
    <w:rsid w:val="00A02B24"/>
    <w:rsid w:val="00A37652"/>
    <w:rsid w:val="00A444A4"/>
    <w:rsid w:val="00A6747D"/>
    <w:rsid w:val="00AA3AFC"/>
    <w:rsid w:val="00AA56C2"/>
    <w:rsid w:val="00AB0D25"/>
    <w:rsid w:val="00AB6CBF"/>
    <w:rsid w:val="00AD4887"/>
    <w:rsid w:val="00AF1A85"/>
    <w:rsid w:val="00B15786"/>
    <w:rsid w:val="00B679AC"/>
    <w:rsid w:val="00C6420F"/>
    <w:rsid w:val="00C65E6F"/>
    <w:rsid w:val="00CC2A77"/>
    <w:rsid w:val="00CD1E06"/>
    <w:rsid w:val="00D170E2"/>
    <w:rsid w:val="00D82077"/>
    <w:rsid w:val="00D97C57"/>
    <w:rsid w:val="00DD3D5B"/>
    <w:rsid w:val="00DD4785"/>
    <w:rsid w:val="00DF0804"/>
    <w:rsid w:val="00E45D19"/>
    <w:rsid w:val="00EF4D0D"/>
    <w:rsid w:val="00F60071"/>
    <w:rsid w:val="00F71D3F"/>
    <w:rsid w:val="00F750A2"/>
    <w:rsid w:val="00FC537B"/>
    <w:rsid w:val="00FD0709"/>
    <w:rsid w:val="00FD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08CB"/>
  <w15:docId w15:val="{238F431C-DD0D-4791-A43B-1BBA4ED0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FC537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FC537B"/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F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D0D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40061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D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3D5B"/>
    <w:rPr>
      <w:lang w:val="ru-RU"/>
    </w:rPr>
  </w:style>
  <w:style w:type="paragraph" w:styleId="a9">
    <w:name w:val="footer"/>
    <w:basedOn w:val="a"/>
    <w:link w:val="aa"/>
    <w:uiPriority w:val="99"/>
    <w:unhideWhenUsed/>
    <w:rsid w:val="00DD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3D5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862C6-13BC-4C32-B07F-135DB957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Темиргалиева Баглан Амантаевна</cp:lastModifiedBy>
  <cp:revision>17</cp:revision>
  <cp:lastPrinted>2025-08-05T06:50:00Z</cp:lastPrinted>
  <dcterms:created xsi:type="dcterms:W3CDTF">2025-07-03T07:29:00Z</dcterms:created>
  <dcterms:modified xsi:type="dcterms:W3CDTF">2025-08-07T12:54:00Z</dcterms:modified>
</cp:coreProperties>
</file>